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E2" w:rsidRPr="001331E2" w:rsidRDefault="001331E2" w:rsidP="001331E2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0"/>
        </w:rPr>
      </w:pPr>
      <w:r w:rsidRPr="001331E2">
        <w:rPr>
          <w:rFonts w:cs="Arial"/>
          <w:bCs/>
          <w:sz w:val="20"/>
        </w:rPr>
        <w:t>3GPP TSG RAN WG</w:t>
      </w:r>
      <w:r>
        <w:rPr>
          <w:rFonts w:cs="Arial"/>
          <w:bCs/>
          <w:sz w:val="20"/>
        </w:rPr>
        <w:t>6</w:t>
      </w:r>
      <w:r w:rsidRPr="001331E2">
        <w:rPr>
          <w:rFonts w:cs="Arial"/>
          <w:bCs/>
          <w:sz w:val="20"/>
        </w:rPr>
        <w:t xml:space="preserve"> Meeting #</w:t>
      </w:r>
      <w:r>
        <w:rPr>
          <w:rFonts w:cs="Arial"/>
          <w:bCs/>
          <w:sz w:val="20"/>
        </w:rPr>
        <w:t>02</w:t>
      </w:r>
      <w:r w:rsidRPr="001331E2">
        <w:rPr>
          <w:rFonts w:cs="Arial"/>
          <w:bCs/>
          <w:sz w:val="20"/>
        </w:rPr>
        <w:tab/>
      </w:r>
      <w:r w:rsidRPr="001331E2">
        <w:rPr>
          <w:rFonts w:cs="Arial"/>
          <w:bCs/>
          <w:sz w:val="20"/>
        </w:rPr>
        <w:tab/>
        <w:t>R</w:t>
      </w:r>
      <w:r>
        <w:rPr>
          <w:rFonts w:cs="Arial"/>
          <w:bCs/>
          <w:sz w:val="20"/>
        </w:rPr>
        <w:t>6</w:t>
      </w:r>
      <w:r w:rsidRPr="001331E2">
        <w:rPr>
          <w:rFonts w:cs="Arial"/>
          <w:bCs/>
          <w:sz w:val="20"/>
        </w:rPr>
        <w:t>-16</w:t>
      </w:r>
      <w:r>
        <w:rPr>
          <w:rFonts w:cs="Arial"/>
          <w:bCs/>
          <w:sz w:val="20"/>
        </w:rPr>
        <w:t>0251</w:t>
      </w:r>
    </w:p>
    <w:p w:rsidR="001331E2" w:rsidRPr="001331E2" w:rsidRDefault="001331E2" w:rsidP="001331E2">
      <w:pPr>
        <w:pStyle w:val="Header"/>
        <w:tabs>
          <w:tab w:val="right" w:pos="9781"/>
        </w:tabs>
        <w:ind w:right="-58"/>
        <w:rPr>
          <w:rFonts w:cs="Arial"/>
          <w:bCs/>
          <w:sz w:val="20"/>
        </w:rPr>
      </w:pPr>
      <w:r w:rsidRPr="001331E2">
        <w:rPr>
          <w:rFonts w:cs="Arial"/>
          <w:bCs/>
          <w:sz w:val="20"/>
        </w:rPr>
        <w:t>Reno, USA, 14 – 18 November 2016</w:t>
      </w:r>
      <w:r>
        <w:rPr>
          <w:rFonts w:cs="Arial"/>
          <w:bCs/>
          <w:sz w:val="20"/>
        </w:rPr>
        <w:tab/>
        <w:t>Agenda Item: 5</w:t>
      </w:r>
    </w:p>
    <w:p w:rsidR="001331E2" w:rsidRDefault="001331E2" w:rsidP="005470B7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0"/>
        </w:rPr>
      </w:pPr>
    </w:p>
    <w:p w:rsidR="005470B7" w:rsidRPr="001331E2" w:rsidRDefault="005470B7" w:rsidP="005470B7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0"/>
        </w:rPr>
      </w:pPr>
      <w:r w:rsidRPr="001331E2">
        <w:rPr>
          <w:rFonts w:cs="Arial"/>
          <w:b w:val="0"/>
          <w:bCs/>
          <w:sz w:val="20"/>
        </w:rPr>
        <w:t>3GPP T</w:t>
      </w:r>
      <w:r w:rsidR="00016CA7" w:rsidRPr="001331E2">
        <w:rPr>
          <w:rFonts w:cs="Arial"/>
          <w:b w:val="0"/>
          <w:bCs/>
          <w:sz w:val="20"/>
        </w:rPr>
        <w:t>S</w:t>
      </w:r>
      <w:r w:rsidR="00F96BAD" w:rsidRPr="001331E2">
        <w:rPr>
          <w:rFonts w:cs="Arial"/>
          <w:b w:val="0"/>
          <w:bCs/>
          <w:sz w:val="20"/>
        </w:rPr>
        <w:t>G RAN WG2 Meeting #96</w:t>
      </w:r>
      <w:r w:rsidR="00E72AC5" w:rsidRPr="001331E2">
        <w:rPr>
          <w:rFonts w:cs="Arial"/>
          <w:b w:val="0"/>
          <w:bCs/>
          <w:sz w:val="20"/>
        </w:rPr>
        <w:tab/>
      </w:r>
      <w:r w:rsidR="00E72AC5" w:rsidRPr="001331E2">
        <w:rPr>
          <w:rFonts w:cs="Arial"/>
          <w:b w:val="0"/>
          <w:bCs/>
          <w:sz w:val="20"/>
        </w:rPr>
        <w:tab/>
        <w:t>R2-16</w:t>
      </w:r>
      <w:r w:rsidR="00E236A9" w:rsidRPr="001331E2">
        <w:rPr>
          <w:rFonts w:cs="Arial"/>
          <w:b w:val="0"/>
          <w:bCs/>
          <w:sz w:val="20"/>
        </w:rPr>
        <w:t>9085</w:t>
      </w:r>
    </w:p>
    <w:p w:rsidR="005470B7" w:rsidRPr="001331E2" w:rsidRDefault="00F96BAD" w:rsidP="005470B7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0"/>
        </w:rPr>
      </w:pPr>
      <w:r w:rsidRPr="001331E2">
        <w:rPr>
          <w:rFonts w:cs="Arial"/>
          <w:b w:val="0"/>
          <w:bCs/>
          <w:sz w:val="20"/>
        </w:rPr>
        <w:t>Reno</w:t>
      </w:r>
      <w:r w:rsidR="005470B7" w:rsidRPr="001331E2">
        <w:rPr>
          <w:rFonts w:cs="Arial"/>
          <w:b w:val="0"/>
          <w:bCs/>
          <w:sz w:val="20"/>
        </w:rPr>
        <w:t xml:space="preserve">, </w:t>
      </w:r>
      <w:r w:rsidRPr="001331E2">
        <w:rPr>
          <w:rFonts w:cs="Arial"/>
          <w:b w:val="0"/>
          <w:bCs/>
          <w:sz w:val="20"/>
        </w:rPr>
        <w:t>USA</w:t>
      </w:r>
      <w:r w:rsidR="005470B7" w:rsidRPr="001331E2">
        <w:rPr>
          <w:rFonts w:cs="Arial"/>
          <w:b w:val="0"/>
          <w:bCs/>
          <w:sz w:val="20"/>
        </w:rPr>
        <w:t xml:space="preserve">, </w:t>
      </w:r>
      <w:r w:rsidRPr="001331E2">
        <w:rPr>
          <w:rFonts w:cs="Arial"/>
          <w:b w:val="0"/>
          <w:bCs/>
          <w:sz w:val="20"/>
        </w:rPr>
        <w:t>14 – 18 November</w:t>
      </w:r>
      <w:r w:rsidR="005470B7" w:rsidRPr="001331E2">
        <w:rPr>
          <w:rFonts w:cs="Arial"/>
          <w:b w:val="0"/>
          <w:bCs/>
          <w:sz w:val="20"/>
        </w:rPr>
        <w:t xml:space="preserve"> 2016</w:t>
      </w:r>
    </w:p>
    <w:p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16CA7" w:rsidRPr="00E55E5A">
        <w:rPr>
          <w:rFonts w:ascii="Arial" w:hAnsi="Arial" w:cs="Arial"/>
          <w:sz w:val="22"/>
          <w:szCs w:val="22"/>
        </w:rPr>
        <w:t xml:space="preserve">Response </w:t>
      </w:r>
      <w:r w:rsidRPr="00E55E5A">
        <w:rPr>
          <w:rFonts w:ascii="Arial" w:hAnsi="Arial" w:cs="Arial"/>
          <w:sz w:val="22"/>
          <w:szCs w:val="22"/>
        </w:rPr>
        <w:t xml:space="preserve">LS on </w:t>
      </w:r>
      <w:r w:rsidR="000F7BD1" w:rsidRPr="00E55E5A">
        <w:rPr>
          <w:rFonts w:ascii="Arial" w:hAnsi="Arial" w:cs="Arial"/>
          <w:color w:val="000000"/>
          <w:sz w:val="22"/>
          <w:szCs w:val="22"/>
        </w:rPr>
        <w:t>Enhanced Coverage authorization impact on cell and PLMN selection procedures</w:t>
      </w:r>
    </w:p>
    <w:p w:rsidR="00B97703" w:rsidRPr="00F96BAD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55E5A">
        <w:rPr>
          <w:rFonts w:ascii="Arial" w:hAnsi="Arial" w:cs="Arial"/>
          <w:bCs/>
          <w:sz w:val="22"/>
          <w:szCs w:val="22"/>
        </w:rPr>
        <w:t xml:space="preserve">LS </w:t>
      </w:r>
      <w:r w:rsidR="00F96BAD">
        <w:rPr>
          <w:rFonts w:ascii="Arial" w:hAnsi="Arial" w:cs="Arial"/>
          <w:bCs/>
          <w:sz w:val="22"/>
          <w:szCs w:val="22"/>
        </w:rPr>
        <w:t>R2-167426</w:t>
      </w:r>
      <w:r w:rsidR="006447F7" w:rsidRPr="00E55E5A">
        <w:rPr>
          <w:rFonts w:ascii="Arial" w:hAnsi="Arial" w:cs="Arial"/>
          <w:bCs/>
          <w:sz w:val="22"/>
          <w:szCs w:val="22"/>
        </w:rPr>
        <w:t>/</w:t>
      </w:r>
      <w:r w:rsidR="00F96BAD">
        <w:rPr>
          <w:rFonts w:ascii="Arial" w:hAnsi="Arial" w:cs="Arial"/>
          <w:bCs/>
          <w:sz w:val="22"/>
          <w:szCs w:val="22"/>
        </w:rPr>
        <w:t>S2-166286</w:t>
      </w:r>
      <w:r w:rsidR="00F96BAD">
        <w:rPr>
          <w:rFonts w:ascii="Arial" w:hAnsi="Arial" w:cs="Arial"/>
          <w:sz w:val="22"/>
          <w:szCs w:val="22"/>
        </w:rPr>
        <w:t xml:space="preserve"> &amp; </w:t>
      </w:r>
      <w:r w:rsidR="00F96BAD">
        <w:rPr>
          <w:rFonts w:ascii="Arial" w:hAnsi="Arial" w:cs="Arial"/>
          <w:bCs/>
          <w:sz w:val="22"/>
          <w:szCs w:val="22"/>
        </w:rPr>
        <w:t xml:space="preserve">R2-167403/C1-164703 </w:t>
      </w:r>
      <w:r w:rsidR="00016CA7" w:rsidRPr="00E55E5A">
        <w:rPr>
          <w:rFonts w:ascii="Arial" w:hAnsi="Arial" w:cs="Arial"/>
          <w:sz w:val="22"/>
          <w:szCs w:val="22"/>
        </w:rPr>
        <w:t xml:space="preserve">on </w:t>
      </w:r>
      <w:r w:rsidR="000F7BD1" w:rsidRPr="00E55E5A">
        <w:rPr>
          <w:rFonts w:ascii="Arial" w:hAnsi="Arial" w:cs="Arial"/>
          <w:color w:val="000000"/>
          <w:sz w:val="22"/>
          <w:szCs w:val="22"/>
        </w:rPr>
        <w:t>Enhanced Coverage authorization impact on cell and PLMN selection procedures</w:t>
      </w:r>
      <w:r w:rsidR="000F7BD1" w:rsidRPr="00E55E5A">
        <w:rPr>
          <w:rFonts w:ascii="Arial" w:hAnsi="Arial" w:cs="Arial"/>
          <w:bCs/>
          <w:sz w:val="22"/>
          <w:szCs w:val="22"/>
        </w:rPr>
        <w:t xml:space="preserve"> </w:t>
      </w:r>
      <w:r w:rsidRPr="00E55E5A">
        <w:rPr>
          <w:rFonts w:ascii="Arial" w:hAnsi="Arial" w:cs="Arial"/>
          <w:bCs/>
          <w:sz w:val="22"/>
          <w:szCs w:val="22"/>
        </w:rPr>
        <w:t xml:space="preserve">from </w:t>
      </w:r>
      <w:r w:rsidR="00390F76" w:rsidRPr="00E55E5A">
        <w:rPr>
          <w:rFonts w:ascii="Arial" w:hAnsi="Arial" w:cs="Arial"/>
          <w:bCs/>
          <w:sz w:val="22"/>
          <w:szCs w:val="22"/>
        </w:rPr>
        <w:t>SA2</w:t>
      </w:r>
      <w:r w:rsidR="00F96BAD">
        <w:rPr>
          <w:rFonts w:ascii="Arial" w:hAnsi="Arial" w:cs="Arial"/>
          <w:bCs/>
          <w:sz w:val="22"/>
          <w:szCs w:val="22"/>
        </w:rPr>
        <w:t xml:space="preserve"> and CT1.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0F76" w:rsidRPr="00E55E5A">
        <w:rPr>
          <w:rFonts w:ascii="Arial" w:hAnsi="Arial" w:cs="Arial"/>
          <w:bCs/>
          <w:sz w:val="22"/>
          <w:szCs w:val="22"/>
        </w:rPr>
        <w:t>Release 1</w:t>
      </w:r>
      <w:r w:rsidR="000F7BD1" w:rsidRPr="00E55E5A">
        <w:rPr>
          <w:rFonts w:ascii="Arial" w:hAnsi="Arial" w:cs="Arial"/>
          <w:bCs/>
          <w:sz w:val="22"/>
          <w:szCs w:val="22"/>
        </w:rPr>
        <w:t>4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7BD1" w:rsidRPr="00E55E5A">
        <w:rPr>
          <w:rFonts w:ascii="Arial" w:hAnsi="Arial" w:cs="Arial"/>
          <w:bCs/>
          <w:sz w:val="22"/>
          <w:szCs w:val="22"/>
        </w:rPr>
        <w:t>FS</w:t>
      </w:r>
      <w:r w:rsidR="00B61E30" w:rsidRPr="00E55E5A">
        <w:rPr>
          <w:rFonts w:ascii="Arial" w:hAnsi="Arial" w:cs="Arial"/>
          <w:bCs/>
          <w:sz w:val="22"/>
          <w:szCs w:val="22"/>
        </w:rPr>
        <w:t>_</w:t>
      </w:r>
      <w:r w:rsidR="000F7BD1" w:rsidRPr="00E55E5A">
        <w:rPr>
          <w:rFonts w:ascii="Arial" w:hAnsi="Arial" w:cs="Arial"/>
          <w:bCs/>
          <w:sz w:val="22"/>
          <w:szCs w:val="22"/>
        </w:rPr>
        <w:t>CIoT_ext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E55E5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236A9">
        <w:rPr>
          <w:rFonts w:ascii="Arial" w:hAnsi="Arial" w:cs="Arial"/>
          <w:color w:val="000000"/>
          <w:sz w:val="22"/>
          <w:szCs w:val="22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0F76" w:rsidRPr="00E55E5A">
        <w:rPr>
          <w:rFonts w:ascii="Arial" w:hAnsi="Arial" w:cs="Arial"/>
          <w:bCs/>
          <w:sz w:val="22"/>
          <w:szCs w:val="22"/>
        </w:rPr>
        <w:t>SA2</w:t>
      </w:r>
      <w:r w:rsidR="000F7BD1" w:rsidRPr="00E55E5A">
        <w:rPr>
          <w:rFonts w:ascii="Arial" w:hAnsi="Arial" w:cs="Arial"/>
          <w:bCs/>
          <w:sz w:val="22"/>
          <w:szCs w:val="22"/>
        </w:rPr>
        <w:t>,</w:t>
      </w:r>
      <w:r w:rsidR="00016CA7" w:rsidRPr="00E55E5A">
        <w:rPr>
          <w:rFonts w:ascii="Arial" w:hAnsi="Arial" w:cs="Arial"/>
          <w:bCs/>
          <w:sz w:val="22"/>
          <w:szCs w:val="22"/>
        </w:rPr>
        <w:t xml:space="preserve"> 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42B" w:rsidRPr="008B142B">
        <w:rPr>
          <w:rFonts w:ascii="Arial" w:hAnsi="Arial" w:cs="Arial"/>
          <w:bCs/>
          <w:sz w:val="22"/>
          <w:szCs w:val="22"/>
        </w:rPr>
        <w:t>RAN6</w:t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6CA7" w:rsidRPr="00E55E5A">
        <w:rPr>
          <w:rFonts w:ascii="Arial" w:hAnsi="Arial" w:cs="Arial"/>
          <w:bCs/>
          <w:sz w:val="22"/>
          <w:szCs w:val="22"/>
        </w:rPr>
        <w:t>Mungal Dhanda</w:t>
      </w:r>
    </w:p>
    <w:p w:rsidR="00B97703" w:rsidRPr="00E55E5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7999" w:rsidRPr="00E55E5A">
        <w:rPr>
          <w:rFonts w:ascii="Arial" w:hAnsi="Arial" w:cs="Arial"/>
          <w:bCs/>
          <w:sz w:val="22"/>
          <w:szCs w:val="22"/>
        </w:rPr>
        <w:t>m</w:t>
      </w:r>
      <w:r w:rsidR="00016CA7" w:rsidRPr="00E55E5A">
        <w:rPr>
          <w:rFonts w:ascii="Arial" w:hAnsi="Arial" w:cs="Arial"/>
          <w:bCs/>
          <w:sz w:val="22"/>
          <w:szCs w:val="22"/>
        </w:rPr>
        <w:t>dhanda</w:t>
      </w:r>
      <w:r w:rsidR="00757999" w:rsidRPr="00E55E5A">
        <w:rPr>
          <w:rFonts w:ascii="Arial" w:hAnsi="Arial" w:cs="Arial"/>
          <w:bCs/>
          <w:sz w:val="22"/>
          <w:szCs w:val="22"/>
        </w:rPr>
        <w:t xml:space="preserve"> (at) qti (dot) qualcomm (dot) </w:t>
      </w:r>
      <w:r w:rsidR="00390F76" w:rsidRPr="00E55E5A">
        <w:rPr>
          <w:rFonts w:ascii="Arial" w:hAnsi="Arial" w:cs="Arial"/>
          <w:bCs/>
          <w:sz w:val="22"/>
          <w:szCs w:val="22"/>
        </w:rPr>
        <w:t>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E55E5A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E55E5A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34B9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F35D0">
        <w:t>none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056B5" w:rsidRPr="009209B8" w:rsidRDefault="00016CA7" w:rsidP="000F6242">
      <w:pPr>
        <w:rPr>
          <w:color w:val="000000"/>
          <w:sz w:val="22"/>
        </w:rPr>
      </w:pPr>
      <w:r w:rsidRPr="009209B8">
        <w:rPr>
          <w:sz w:val="22"/>
        </w:rPr>
        <w:t xml:space="preserve">RAN2 thanks </w:t>
      </w:r>
      <w:r w:rsidR="00534B9F" w:rsidRPr="009209B8">
        <w:rPr>
          <w:sz w:val="22"/>
        </w:rPr>
        <w:t xml:space="preserve">SA2 </w:t>
      </w:r>
      <w:r w:rsidR="00E15EC7" w:rsidRPr="009209B8">
        <w:rPr>
          <w:sz w:val="22"/>
        </w:rPr>
        <w:t xml:space="preserve">and CT1 </w:t>
      </w:r>
      <w:r w:rsidR="00534B9F" w:rsidRPr="009209B8">
        <w:rPr>
          <w:sz w:val="22"/>
        </w:rPr>
        <w:t>on their LS</w:t>
      </w:r>
      <w:r w:rsidR="00E15EC7" w:rsidRPr="009209B8">
        <w:rPr>
          <w:sz w:val="22"/>
        </w:rPr>
        <w:t>es</w:t>
      </w:r>
      <w:r w:rsidR="00534B9F" w:rsidRPr="009209B8">
        <w:rPr>
          <w:sz w:val="22"/>
        </w:rPr>
        <w:t xml:space="preserve"> on </w:t>
      </w:r>
      <w:r w:rsidR="00785A90" w:rsidRPr="009209B8">
        <w:rPr>
          <w:color w:val="000000"/>
          <w:sz w:val="22"/>
        </w:rPr>
        <w:t>Enhanced Coverage authorization impact on cell and PLMN selection procedures.</w:t>
      </w:r>
      <w:r w:rsidR="00717D4D" w:rsidRPr="009209B8">
        <w:rPr>
          <w:color w:val="000000"/>
          <w:sz w:val="22"/>
        </w:rPr>
        <w:t xml:space="preserve"> </w:t>
      </w:r>
    </w:p>
    <w:p w:rsidR="009209B8" w:rsidRPr="009209B8" w:rsidRDefault="009209B8" w:rsidP="000F6242">
      <w:pPr>
        <w:rPr>
          <w:color w:val="000000"/>
          <w:sz w:val="22"/>
        </w:rPr>
      </w:pPr>
      <w:r w:rsidRPr="009209B8">
        <w:rPr>
          <w:color w:val="000000"/>
          <w:sz w:val="22"/>
        </w:rPr>
        <w:t>RAN2 has discussed Enhanced Co</w:t>
      </w:r>
      <w:r w:rsidR="004B15A3">
        <w:rPr>
          <w:color w:val="000000"/>
          <w:sz w:val="22"/>
        </w:rPr>
        <w:t>verage authorization for</w:t>
      </w:r>
      <w:r w:rsidRPr="009209B8">
        <w:rPr>
          <w:color w:val="000000"/>
          <w:sz w:val="22"/>
        </w:rPr>
        <w:t xml:space="preserve"> eMTC</w:t>
      </w:r>
      <w:r w:rsidR="00172068">
        <w:rPr>
          <w:color w:val="000000"/>
          <w:sz w:val="22"/>
        </w:rPr>
        <w:t xml:space="preserve"> UEs and </w:t>
      </w:r>
      <w:r w:rsidR="004B15A3">
        <w:rPr>
          <w:color w:val="000000"/>
          <w:sz w:val="22"/>
        </w:rPr>
        <w:t>LTE UEs that support</w:t>
      </w:r>
      <w:r w:rsidRPr="009209B8">
        <w:rPr>
          <w:color w:val="000000"/>
          <w:sz w:val="22"/>
        </w:rPr>
        <w:t xml:space="preserve"> </w:t>
      </w:r>
      <w:r w:rsidR="00172068">
        <w:rPr>
          <w:color w:val="000000"/>
          <w:sz w:val="22"/>
        </w:rPr>
        <w:t xml:space="preserve">CE and </w:t>
      </w:r>
      <w:r w:rsidRPr="009209B8">
        <w:rPr>
          <w:color w:val="000000"/>
          <w:sz w:val="22"/>
        </w:rPr>
        <w:t>reached the following agreements.</w:t>
      </w:r>
    </w:p>
    <w:p w:rsidR="009209B8" w:rsidRPr="009209B8" w:rsidRDefault="009209B8" w:rsidP="00920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  <w:rPr>
          <w:sz w:val="22"/>
        </w:rPr>
      </w:pPr>
      <w:r w:rsidRPr="009209B8">
        <w:rPr>
          <w:sz w:val="22"/>
        </w:rPr>
        <w:t>0:</w:t>
      </w:r>
      <w:r w:rsidRPr="009209B8">
        <w:rPr>
          <w:sz w:val="22"/>
        </w:rPr>
        <w:tab/>
        <w:t>The authorisation determines whether the UE is allowed to use the enhanced cell selection criteria or not.</w:t>
      </w:r>
    </w:p>
    <w:p w:rsidR="009209B8" w:rsidRPr="009209B8" w:rsidRDefault="009209B8" w:rsidP="00920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  <w:rPr>
          <w:sz w:val="22"/>
        </w:rPr>
      </w:pPr>
      <w:r w:rsidRPr="009209B8">
        <w:rPr>
          <w:sz w:val="22"/>
        </w:rPr>
        <w:t xml:space="preserve">1: </w:t>
      </w:r>
      <w:r w:rsidRPr="009209B8">
        <w:rPr>
          <w:sz w:val="22"/>
        </w:rPr>
        <w:tab/>
        <w:t xml:space="preserve">UE not </w:t>
      </w:r>
      <w:r w:rsidR="004B15A3" w:rsidRPr="009209B8">
        <w:rPr>
          <w:sz w:val="22"/>
        </w:rPr>
        <w:t>authorized</w:t>
      </w:r>
      <w:r w:rsidR="004B15A3">
        <w:rPr>
          <w:sz w:val="22"/>
        </w:rPr>
        <w:t xml:space="preserve"> to use</w:t>
      </w:r>
      <w:r w:rsidRPr="009209B8">
        <w:rPr>
          <w:sz w:val="22"/>
        </w:rPr>
        <w:t xml:space="preserve"> coverage enhancements shall consider a cell that can only be camped in normal service in CE mode as not suitable. UE can camp in limited service.</w:t>
      </w:r>
    </w:p>
    <w:p w:rsidR="009209B8" w:rsidRPr="009209B8" w:rsidRDefault="009209B8" w:rsidP="00920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  <w:rPr>
          <w:sz w:val="22"/>
        </w:rPr>
      </w:pPr>
      <w:r w:rsidRPr="009209B8">
        <w:rPr>
          <w:sz w:val="22"/>
        </w:rPr>
        <w:t>2</w:t>
      </w:r>
      <w:r w:rsidRPr="009209B8">
        <w:rPr>
          <w:sz w:val="22"/>
        </w:rPr>
        <w:tab/>
        <w:t>The existing cell re-selection procedures and rules are used with authorization of coverage enhancements.</w:t>
      </w:r>
    </w:p>
    <w:p w:rsidR="009209B8" w:rsidRPr="009209B8" w:rsidRDefault="009209B8" w:rsidP="00920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  <w:rPr>
          <w:sz w:val="22"/>
        </w:rPr>
      </w:pPr>
      <w:r w:rsidRPr="009209B8">
        <w:rPr>
          <w:sz w:val="22"/>
        </w:rPr>
        <w:t>3</w:t>
      </w:r>
      <w:r w:rsidRPr="009209B8">
        <w:rPr>
          <w:sz w:val="22"/>
        </w:rPr>
        <w:tab/>
        <w:t xml:space="preserve">RAN2 informs CT1 about the above RAN2 agreements, and that AS needs to know from NAS whether coverage enhancements </w:t>
      </w:r>
      <w:r w:rsidR="004B15A3">
        <w:rPr>
          <w:sz w:val="22"/>
        </w:rPr>
        <w:t>is</w:t>
      </w:r>
      <w:r w:rsidRPr="009209B8">
        <w:rPr>
          <w:sz w:val="22"/>
        </w:rPr>
        <w:t xml:space="preserve"> authorized. RAN2 have not discussed PLMN selection and leave that to CT1.</w:t>
      </w:r>
    </w:p>
    <w:p w:rsidR="009209B8" w:rsidRPr="009209B8" w:rsidRDefault="009209B8" w:rsidP="00920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  <w:rPr>
          <w:sz w:val="22"/>
        </w:rPr>
      </w:pPr>
      <w:r w:rsidRPr="009209B8">
        <w:rPr>
          <w:sz w:val="22"/>
        </w:rPr>
        <w:t>4</w:t>
      </w:r>
      <w:r w:rsidRPr="009209B8">
        <w:rPr>
          <w:sz w:val="22"/>
        </w:rPr>
        <w:tab/>
        <w:t>Authorization of coverage enhancements will not impact specifications for connected mode mobility (i.e. left to network implementation). In case Idle mode procedures apply in connected mode (e.g. RRC re-establishment) the Idle mode procedure handling of authorization of coverage enhancements applies.</w:t>
      </w:r>
    </w:p>
    <w:p w:rsidR="009209B8" w:rsidRPr="009209B8" w:rsidRDefault="009209B8" w:rsidP="001331E2">
      <w:pPr>
        <w:spacing w:after="0"/>
        <w:rPr>
          <w:color w:val="000000"/>
          <w:sz w:val="22"/>
        </w:rPr>
      </w:pPr>
    </w:p>
    <w:p w:rsidR="00394A69" w:rsidRDefault="009209B8" w:rsidP="000F6242">
      <w:pPr>
        <w:rPr>
          <w:color w:val="000000"/>
          <w:sz w:val="22"/>
        </w:rPr>
      </w:pPr>
      <w:r w:rsidRPr="00875B2D">
        <w:rPr>
          <w:color w:val="000000"/>
          <w:sz w:val="22"/>
        </w:rPr>
        <w:t xml:space="preserve">RAN2 </w:t>
      </w:r>
      <w:r w:rsidR="00394A69">
        <w:rPr>
          <w:color w:val="000000"/>
          <w:sz w:val="22"/>
        </w:rPr>
        <w:t xml:space="preserve">also discussed </w:t>
      </w:r>
      <w:r w:rsidRPr="00875B2D">
        <w:rPr>
          <w:color w:val="000000"/>
          <w:sz w:val="22"/>
        </w:rPr>
        <w:t xml:space="preserve">Enhanced Coverage authorization for NB-IoT </w:t>
      </w:r>
      <w:r w:rsidR="00394A69" w:rsidRPr="009209B8">
        <w:rPr>
          <w:color w:val="000000"/>
          <w:sz w:val="22"/>
        </w:rPr>
        <w:t xml:space="preserve">and </w:t>
      </w:r>
      <w:r w:rsidR="00834CB0">
        <w:rPr>
          <w:color w:val="000000"/>
          <w:sz w:val="22"/>
        </w:rPr>
        <w:t>reached the following agreement</w:t>
      </w:r>
      <w:r w:rsidR="00394A69" w:rsidRPr="009209B8">
        <w:rPr>
          <w:color w:val="000000"/>
          <w:sz w:val="22"/>
        </w:rPr>
        <w:t>.</w:t>
      </w:r>
    </w:p>
    <w:p w:rsidR="003140D4" w:rsidRDefault="003140D4" w:rsidP="00382A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207" w:firstLine="0"/>
        <w:rPr>
          <w:rFonts w:eastAsia="PMingLiU"/>
          <w:sz w:val="22"/>
          <w:lang w:eastAsia="zh-TW"/>
        </w:rPr>
      </w:pPr>
      <w:r w:rsidRPr="003140D4">
        <w:rPr>
          <w:rFonts w:eastAsia="PMingLiU"/>
          <w:sz w:val="22"/>
          <w:lang w:eastAsia="zh-TW"/>
        </w:rPr>
        <w:t xml:space="preserve">It </w:t>
      </w:r>
      <w:r w:rsidRPr="003140D4">
        <w:rPr>
          <w:rFonts w:eastAsia="PMingLiU" w:hint="eastAsia"/>
          <w:sz w:val="22"/>
          <w:lang w:eastAsia="zh-TW"/>
        </w:rPr>
        <w:t>is applicable to NB-IoT</w:t>
      </w:r>
      <w:r w:rsidRPr="003140D4">
        <w:rPr>
          <w:rFonts w:eastAsia="PMingLiU" w:hint="eastAsia"/>
          <w:sz w:val="24"/>
          <w:lang w:eastAsia="zh-TW"/>
        </w:rPr>
        <w:t xml:space="preserve"> </w:t>
      </w:r>
    </w:p>
    <w:p w:rsidR="003140D4" w:rsidRDefault="003140D4" w:rsidP="00382A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207" w:firstLine="0"/>
        <w:rPr>
          <w:rFonts w:eastAsia="PMingLiU"/>
          <w:sz w:val="22"/>
          <w:lang w:eastAsia="zh-TW"/>
        </w:rPr>
      </w:pPr>
    </w:p>
    <w:p w:rsidR="00172068" w:rsidRDefault="00172068" w:rsidP="00382A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207" w:firstLine="0"/>
        <w:rPr>
          <w:rFonts w:eastAsia="PMingLiU"/>
          <w:sz w:val="22"/>
          <w:lang w:eastAsia="zh-TW"/>
        </w:rPr>
      </w:pPr>
      <w:r w:rsidRPr="00172068">
        <w:rPr>
          <w:rFonts w:eastAsia="PMingLiU" w:hint="eastAsia"/>
          <w:sz w:val="22"/>
          <w:lang w:eastAsia="zh-TW"/>
        </w:rPr>
        <w:t xml:space="preserve">RAN2 only modify the </w:t>
      </w:r>
      <w:r w:rsidRPr="00172068">
        <w:rPr>
          <w:rFonts w:eastAsia="PMingLiU"/>
          <w:sz w:val="22"/>
          <w:lang w:eastAsia="zh-TW"/>
        </w:rPr>
        <w:t>suitability</w:t>
      </w:r>
      <w:r w:rsidRPr="00172068">
        <w:rPr>
          <w:rFonts w:eastAsia="PMingLiU" w:hint="eastAsia"/>
          <w:sz w:val="22"/>
          <w:lang w:eastAsia="zh-TW"/>
        </w:rPr>
        <w:t xml:space="preserve"> threshold that the UE takes into account for the additional coverage </w:t>
      </w:r>
      <w:r w:rsidRPr="00172068">
        <w:rPr>
          <w:rFonts w:eastAsia="PMingLiU"/>
          <w:sz w:val="22"/>
          <w:lang w:eastAsia="zh-TW"/>
        </w:rPr>
        <w:t>enhancement</w:t>
      </w:r>
      <w:r w:rsidRPr="00172068">
        <w:rPr>
          <w:rFonts w:eastAsia="PMingLiU" w:hint="eastAsia"/>
          <w:sz w:val="22"/>
          <w:lang w:eastAsia="zh-TW"/>
        </w:rPr>
        <w:t xml:space="preserve"> level, where it is assumed that NAS provides an on/off indication to the UE</w:t>
      </w:r>
      <w:r>
        <w:rPr>
          <w:rFonts w:eastAsia="PMingLiU"/>
          <w:sz w:val="22"/>
          <w:lang w:eastAsia="zh-TW"/>
        </w:rPr>
        <w:t>.</w:t>
      </w:r>
    </w:p>
    <w:p w:rsidR="003140D4" w:rsidRDefault="003140D4" w:rsidP="000F6242">
      <w:pPr>
        <w:rPr>
          <w:color w:val="000000"/>
          <w:sz w:val="22"/>
        </w:rPr>
      </w:pPr>
    </w:p>
    <w:p w:rsidR="003140D4" w:rsidRDefault="003140D4" w:rsidP="000F6242">
      <w:pPr>
        <w:rPr>
          <w:color w:val="000000"/>
          <w:sz w:val="22"/>
        </w:rPr>
      </w:pPr>
      <w:r>
        <w:rPr>
          <w:rFonts w:eastAsia="PMingLiU"/>
          <w:sz w:val="22"/>
          <w:lang w:eastAsia="zh-TW"/>
        </w:rPr>
        <w:lastRenderedPageBreak/>
        <w:t>Note: For NB-IoT currently there is no coverage enhancement level with respect to suitability thresholds</w:t>
      </w:r>
    </w:p>
    <w:p w:rsidR="003140D4" w:rsidRPr="009209B8" w:rsidRDefault="003140D4" w:rsidP="000F6242">
      <w:pPr>
        <w:rPr>
          <w:color w:val="000000"/>
          <w:sz w:val="22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9209B8" w:rsidRDefault="00B97703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9209B8">
        <w:rPr>
          <w:rFonts w:ascii="Arial" w:hAnsi="Arial" w:cs="Arial"/>
          <w:b/>
          <w:sz w:val="22"/>
        </w:rPr>
        <w:t>To</w:t>
      </w:r>
      <w:r w:rsidR="000F6242" w:rsidRPr="009209B8">
        <w:rPr>
          <w:rFonts w:ascii="Arial" w:hAnsi="Arial" w:cs="Arial"/>
          <w:b/>
          <w:sz w:val="22"/>
        </w:rPr>
        <w:t xml:space="preserve"> </w:t>
      </w:r>
      <w:r w:rsidR="00785A90" w:rsidRPr="009209B8">
        <w:rPr>
          <w:rFonts w:ascii="Arial" w:hAnsi="Arial" w:cs="Arial"/>
          <w:b/>
          <w:sz w:val="22"/>
        </w:rPr>
        <w:t xml:space="preserve">3GPP </w:t>
      </w:r>
      <w:r w:rsidR="006447F7" w:rsidRPr="009209B8">
        <w:rPr>
          <w:rFonts w:ascii="Arial" w:hAnsi="Arial" w:cs="Arial"/>
          <w:b/>
          <w:sz w:val="22"/>
        </w:rPr>
        <w:t>SA2</w:t>
      </w:r>
      <w:r w:rsidR="00FF6CCC" w:rsidRPr="009209B8">
        <w:rPr>
          <w:rFonts w:ascii="Arial" w:hAnsi="Arial" w:cs="Arial"/>
          <w:b/>
          <w:sz w:val="22"/>
        </w:rPr>
        <w:t xml:space="preserve"> and CT1</w:t>
      </w:r>
    </w:p>
    <w:p w:rsidR="00B97703" w:rsidRPr="009209B8" w:rsidRDefault="00B97703" w:rsidP="00534B9F">
      <w:pPr>
        <w:spacing w:after="120"/>
        <w:ind w:left="993" w:hanging="993"/>
        <w:rPr>
          <w:sz w:val="22"/>
        </w:rPr>
      </w:pPr>
      <w:r w:rsidRPr="009209B8">
        <w:rPr>
          <w:rFonts w:ascii="Arial" w:hAnsi="Arial" w:cs="Arial"/>
          <w:b/>
          <w:sz w:val="22"/>
        </w:rPr>
        <w:t xml:space="preserve">ACTION: </w:t>
      </w:r>
      <w:r w:rsidRPr="009209B8">
        <w:rPr>
          <w:rFonts w:ascii="Arial" w:hAnsi="Arial" w:cs="Arial"/>
          <w:b/>
          <w:color w:val="0070C0"/>
          <w:sz w:val="22"/>
        </w:rPr>
        <w:tab/>
      </w:r>
      <w:r w:rsidR="006E692F" w:rsidRPr="009209B8">
        <w:rPr>
          <w:sz w:val="22"/>
        </w:rPr>
        <w:t>RAN</w:t>
      </w:r>
      <w:r w:rsidR="006447F7" w:rsidRPr="009209B8">
        <w:rPr>
          <w:sz w:val="22"/>
        </w:rPr>
        <w:t>2</w:t>
      </w:r>
      <w:r w:rsidRPr="009209B8">
        <w:rPr>
          <w:sz w:val="22"/>
        </w:rPr>
        <w:t xml:space="preserve"> asks </w:t>
      </w:r>
      <w:r w:rsidR="00A41394" w:rsidRPr="009209B8">
        <w:rPr>
          <w:sz w:val="22"/>
        </w:rPr>
        <w:t>SA2</w:t>
      </w:r>
      <w:r w:rsidR="00FF6CCC" w:rsidRPr="009209B8">
        <w:rPr>
          <w:sz w:val="22"/>
        </w:rPr>
        <w:t xml:space="preserve"> and CT1</w:t>
      </w:r>
      <w:r w:rsidR="00A41394" w:rsidRPr="009209B8">
        <w:rPr>
          <w:sz w:val="22"/>
        </w:rPr>
        <w:t xml:space="preserve"> </w:t>
      </w:r>
      <w:r w:rsidR="000C00AB" w:rsidRPr="009209B8">
        <w:rPr>
          <w:sz w:val="22"/>
        </w:rPr>
        <w:t xml:space="preserve">to </w:t>
      </w:r>
      <w:r w:rsidR="006447F7" w:rsidRPr="009209B8">
        <w:rPr>
          <w:sz w:val="22"/>
        </w:rPr>
        <w:t>take the abo</w:t>
      </w:r>
      <w:r w:rsidR="009678A3" w:rsidRPr="009209B8">
        <w:rPr>
          <w:sz w:val="22"/>
        </w:rPr>
        <w:t>ve information into account</w:t>
      </w:r>
      <w:r w:rsidR="00534B9F" w:rsidRPr="009209B8">
        <w:rPr>
          <w:sz w:val="22"/>
        </w:rPr>
        <w:t>.</w:t>
      </w:r>
      <w:r w:rsidR="00CD3D72" w:rsidRPr="009209B8">
        <w:rPr>
          <w:sz w:val="22"/>
        </w:rPr>
        <w:t xml:space="preserve"> </w:t>
      </w:r>
    </w:p>
    <w:p w:rsidR="00A41394" w:rsidRDefault="00A41394" w:rsidP="00534B9F">
      <w:pPr>
        <w:spacing w:after="120"/>
        <w:ind w:left="993" w:hanging="993"/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9DA">
        <w:rPr>
          <w:rFonts w:cs="Arial"/>
          <w:szCs w:val="36"/>
        </w:rPr>
        <w:t>RAN</w:t>
      </w:r>
      <w:r w:rsidR="00F509DA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12B02" w:rsidRPr="009209B8" w:rsidRDefault="00212B02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</w:rPr>
      </w:pPr>
      <w:r w:rsidRPr="009209B8">
        <w:rPr>
          <w:rFonts w:ascii="Arial" w:hAnsi="Arial" w:cs="Arial"/>
          <w:bCs/>
          <w:sz w:val="22"/>
        </w:rPr>
        <w:t>TSG RAN WG2 Meeting #97</w:t>
      </w:r>
      <w:r w:rsidRPr="009209B8">
        <w:rPr>
          <w:rFonts w:ascii="Arial" w:hAnsi="Arial" w:cs="Arial"/>
          <w:bCs/>
          <w:sz w:val="22"/>
        </w:rPr>
        <w:tab/>
        <w:t>13-17 February 2017, Athens, Greece</w:t>
      </w:r>
    </w:p>
    <w:p w:rsidR="00214E87" w:rsidRDefault="00675C0C" w:rsidP="00214E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09B8">
        <w:rPr>
          <w:rFonts w:ascii="Arial" w:hAnsi="Arial" w:cs="Arial"/>
          <w:bCs/>
          <w:sz w:val="22"/>
        </w:rPr>
        <w:t>TSG RAN WG2 Meeting #97bis</w:t>
      </w:r>
      <w:r w:rsidRPr="009209B8">
        <w:rPr>
          <w:rFonts w:ascii="Arial" w:hAnsi="Arial" w:cs="Arial"/>
          <w:bCs/>
          <w:sz w:val="22"/>
        </w:rPr>
        <w:tab/>
        <w:t>03-07 April 2017, TBD</w:t>
      </w:r>
      <w:r w:rsidR="00214E87" w:rsidRPr="009209B8">
        <w:rPr>
          <w:rFonts w:ascii="Arial" w:hAnsi="Arial" w:cs="Arial"/>
          <w:bCs/>
          <w:sz w:val="22"/>
        </w:rPr>
        <w:t>, USA</w:t>
      </w:r>
    </w:p>
    <w:p w:rsidR="00214E87" w:rsidRDefault="00214E87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214E87" w:rsidRPr="00C914A2" w:rsidRDefault="00214E87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AE3" w:rsidRDefault="00085AE3">
      <w:pPr>
        <w:spacing w:after="0"/>
      </w:pPr>
      <w:r>
        <w:separator/>
      </w:r>
    </w:p>
  </w:endnote>
  <w:endnote w:type="continuationSeparator" w:id="0">
    <w:p w:rsidR="00085AE3" w:rsidRDefault="00085A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AE3" w:rsidRDefault="00085AE3">
      <w:pPr>
        <w:spacing w:after="0"/>
      </w:pPr>
      <w:r>
        <w:separator/>
      </w:r>
    </w:p>
  </w:footnote>
  <w:footnote w:type="continuationSeparator" w:id="0">
    <w:p w:rsidR="00085AE3" w:rsidRDefault="00085AE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>
    <w:nsid w:val="318E46CB"/>
    <w:multiLevelType w:val="hybridMultilevel"/>
    <w:tmpl w:val="4EF46070"/>
    <w:lvl w:ilvl="0" w:tplc="0409000F">
      <w:start w:val="1"/>
      <w:numFmt w:val="decimal"/>
      <w:lvlText w:val="%1."/>
      <w:lvlJc w:val="left"/>
      <w:pPr>
        <w:ind w:left="1083" w:hanging="360"/>
      </w:p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8F3673A"/>
    <w:multiLevelType w:val="hybridMultilevel"/>
    <w:tmpl w:val="CAC81372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940C47"/>
    <w:multiLevelType w:val="hybridMultilevel"/>
    <w:tmpl w:val="638C90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6">
    <w:nsid w:val="70D14FA2"/>
    <w:multiLevelType w:val="hybridMultilevel"/>
    <w:tmpl w:val="87180E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0"/>
  </w:num>
  <w:num w:numId="3">
    <w:abstractNumId w:val="8"/>
  </w:num>
  <w:num w:numId="4">
    <w:abstractNumId w:val="3"/>
  </w:num>
  <w:num w:numId="5">
    <w:abstractNumId w:val="15"/>
  </w:num>
  <w:num w:numId="6">
    <w:abstractNumId w:val="1"/>
  </w:num>
  <w:num w:numId="7">
    <w:abstractNumId w:val="12"/>
  </w:num>
  <w:num w:numId="8">
    <w:abstractNumId w:val="5"/>
  </w:num>
  <w:num w:numId="9">
    <w:abstractNumId w:val="7"/>
  </w:num>
  <w:num w:numId="10">
    <w:abstractNumId w:val="4"/>
  </w:num>
  <w:num w:numId="11">
    <w:abstractNumId w:val="2"/>
  </w:num>
  <w:num w:numId="12">
    <w:abstractNumId w:val="0"/>
  </w:num>
  <w:num w:numId="13">
    <w:abstractNumId w:val="11"/>
  </w:num>
  <w:num w:numId="14">
    <w:abstractNumId w:val="9"/>
  </w:num>
  <w:num w:numId="15">
    <w:abstractNumId w:val="6"/>
  </w:num>
  <w:num w:numId="16">
    <w:abstractNumId w:val="13"/>
  </w:num>
  <w:num w:numId="17">
    <w:abstractNumId w:val="1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6E77"/>
    <w:rsid w:val="00016CA7"/>
    <w:rsid w:val="00017F23"/>
    <w:rsid w:val="000328D9"/>
    <w:rsid w:val="000352E6"/>
    <w:rsid w:val="00052481"/>
    <w:rsid w:val="00054E22"/>
    <w:rsid w:val="0005720E"/>
    <w:rsid w:val="0006532D"/>
    <w:rsid w:val="00085AE3"/>
    <w:rsid w:val="00093D18"/>
    <w:rsid w:val="00095078"/>
    <w:rsid w:val="00097588"/>
    <w:rsid w:val="000B2D7F"/>
    <w:rsid w:val="000B412B"/>
    <w:rsid w:val="000C00AB"/>
    <w:rsid w:val="000D0E7B"/>
    <w:rsid w:val="000D60D5"/>
    <w:rsid w:val="000F6242"/>
    <w:rsid w:val="000F7BD1"/>
    <w:rsid w:val="00100559"/>
    <w:rsid w:val="00123E63"/>
    <w:rsid w:val="001331E2"/>
    <w:rsid w:val="00146782"/>
    <w:rsid w:val="00147A6B"/>
    <w:rsid w:val="00157F2F"/>
    <w:rsid w:val="00172068"/>
    <w:rsid w:val="001971E4"/>
    <w:rsid w:val="001A365E"/>
    <w:rsid w:val="001D240A"/>
    <w:rsid w:val="001E72D4"/>
    <w:rsid w:val="00212B02"/>
    <w:rsid w:val="00214AC4"/>
    <w:rsid w:val="00214E87"/>
    <w:rsid w:val="0021500E"/>
    <w:rsid w:val="0021744F"/>
    <w:rsid w:val="002674E0"/>
    <w:rsid w:val="00271D89"/>
    <w:rsid w:val="0027726D"/>
    <w:rsid w:val="002869CC"/>
    <w:rsid w:val="00291C6C"/>
    <w:rsid w:val="00291EAE"/>
    <w:rsid w:val="00293390"/>
    <w:rsid w:val="00294EB6"/>
    <w:rsid w:val="002B020F"/>
    <w:rsid w:val="002C3DBF"/>
    <w:rsid w:val="002C6239"/>
    <w:rsid w:val="002D692C"/>
    <w:rsid w:val="002F1940"/>
    <w:rsid w:val="003140D4"/>
    <w:rsid w:val="003149AE"/>
    <w:rsid w:val="00336462"/>
    <w:rsid w:val="00344CD0"/>
    <w:rsid w:val="00345E45"/>
    <w:rsid w:val="00352282"/>
    <w:rsid w:val="003712BF"/>
    <w:rsid w:val="00382A0D"/>
    <w:rsid w:val="00383545"/>
    <w:rsid w:val="00390F76"/>
    <w:rsid w:val="00394A69"/>
    <w:rsid w:val="00395C5D"/>
    <w:rsid w:val="003B0748"/>
    <w:rsid w:val="003B516A"/>
    <w:rsid w:val="003F2A46"/>
    <w:rsid w:val="00423303"/>
    <w:rsid w:val="00433500"/>
    <w:rsid w:val="00433F71"/>
    <w:rsid w:val="00434363"/>
    <w:rsid w:val="00440D5D"/>
    <w:rsid w:val="004600CA"/>
    <w:rsid w:val="00467F13"/>
    <w:rsid w:val="00490D5F"/>
    <w:rsid w:val="004B15A3"/>
    <w:rsid w:val="004B2A0F"/>
    <w:rsid w:val="004B70CD"/>
    <w:rsid w:val="004D11B8"/>
    <w:rsid w:val="004E0D7A"/>
    <w:rsid w:val="004E3939"/>
    <w:rsid w:val="004E6C9C"/>
    <w:rsid w:val="004F07E2"/>
    <w:rsid w:val="0050557B"/>
    <w:rsid w:val="00507EBA"/>
    <w:rsid w:val="00514D12"/>
    <w:rsid w:val="00517504"/>
    <w:rsid w:val="00534B9F"/>
    <w:rsid w:val="00537CCF"/>
    <w:rsid w:val="005404E7"/>
    <w:rsid w:val="00540B17"/>
    <w:rsid w:val="005470B7"/>
    <w:rsid w:val="0055117F"/>
    <w:rsid w:val="005513DC"/>
    <w:rsid w:val="00596BC7"/>
    <w:rsid w:val="005970ED"/>
    <w:rsid w:val="005B20C7"/>
    <w:rsid w:val="005C0276"/>
    <w:rsid w:val="005C21F2"/>
    <w:rsid w:val="005C3CAB"/>
    <w:rsid w:val="005D4877"/>
    <w:rsid w:val="005D657C"/>
    <w:rsid w:val="006122D5"/>
    <w:rsid w:val="00612E8D"/>
    <w:rsid w:val="00620F9F"/>
    <w:rsid w:val="006400A1"/>
    <w:rsid w:val="0064215D"/>
    <w:rsid w:val="006447F7"/>
    <w:rsid w:val="00662519"/>
    <w:rsid w:val="00663CB2"/>
    <w:rsid w:val="00675C0C"/>
    <w:rsid w:val="0067603F"/>
    <w:rsid w:val="0067631F"/>
    <w:rsid w:val="006833AE"/>
    <w:rsid w:val="00684FF4"/>
    <w:rsid w:val="006908BD"/>
    <w:rsid w:val="006E3AF5"/>
    <w:rsid w:val="006E3EC2"/>
    <w:rsid w:val="006E692F"/>
    <w:rsid w:val="007162A4"/>
    <w:rsid w:val="00717A41"/>
    <w:rsid w:val="00717D4D"/>
    <w:rsid w:val="007263DB"/>
    <w:rsid w:val="0072642C"/>
    <w:rsid w:val="00753F87"/>
    <w:rsid w:val="00757999"/>
    <w:rsid w:val="0076206D"/>
    <w:rsid w:val="00773AD1"/>
    <w:rsid w:val="00785A90"/>
    <w:rsid w:val="0078741F"/>
    <w:rsid w:val="007A2515"/>
    <w:rsid w:val="007C0890"/>
    <w:rsid w:val="007C6953"/>
    <w:rsid w:val="007C6F4D"/>
    <w:rsid w:val="007C786A"/>
    <w:rsid w:val="007D0284"/>
    <w:rsid w:val="007D28C2"/>
    <w:rsid w:val="007D4849"/>
    <w:rsid w:val="007F4F92"/>
    <w:rsid w:val="007F5CD4"/>
    <w:rsid w:val="0081117C"/>
    <w:rsid w:val="00834CB0"/>
    <w:rsid w:val="008373AA"/>
    <w:rsid w:val="00875B2D"/>
    <w:rsid w:val="00885AD2"/>
    <w:rsid w:val="008944A0"/>
    <w:rsid w:val="008A31A2"/>
    <w:rsid w:val="008B0875"/>
    <w:rsid w:val="008B142B"/>
    <w:rsid w:val="008C4127"/>
    <w:rsid w:val="008D772F"/>
    <w:rsid w:val="008F35D0"/>
    <w:rsid w:val="008F6315"/>
    <w:rsid w:val="009016FE"/>
    <w:rsid w:val="009209B8"/>
    <w:rsid w:val="00932111"/>
    <w:rsid w:val="00946205"/>
    <w:rsid w:val="00960900"/>
    <w:rsid w:val="0096683C"/>
    <w:rsid w:val="009678A3"/>
    <w:rsid w:val="0097068B"/>
    <w:rsid w:val="00982172"/>
    <w:rsid w:val="0099764C"/>
    <w:rsid w:val="009A553E"/>
    <w:rsid w:val="009B10E4"/>
    <w:rsid w:val="009B4F00"/>
    <w:rsid w:val="009C18B4"/>
    <w:rsid w:val="009C2797"/>
    <w:rsid w:val="009C7BD5"/>
    <w:rsid w:val="009D6313"/>
    <w:rsid w:val="009F4B0D"/>
    <w:rsid w:val="00A13122"/>
    <w:rsid w:val="00A41394"/>
    <w:rsid w:val="00A42ADF"/>
    <w:rsid w:val="00A45C1B"/>
    <w:rsid w:val="00A46C8B"/>
    <w:rsid w:val="00A511BC"/>
    <w:rsid w:val="00A66B7F"/>
    <w:rsid w:val="00A66E83"/>
    <w:rsid w:val="00A701F5"/>
    <w:rsid w:val="00A92389"/>
    <w:rsid w:val="00AA3F6B"/>
    <w:rsid w:val="00AB7199"/>
    <w:rsid w:val="00AC5C95"/>
    <w:rsid w:val="00AD00B7"/>
    <w:rsid w:val="00B005B9"/>
    <w:rsid w:val="00B16E58"/>
    <w:rsid w:val="00B22C95"/>
    <w:rsid w:val="00B32FAD"/>
    <w:rsid w:val="00B3537F"/>
    <w:rsid w:val="00B52EA5"/>
    <w:rsid w:val="00B52EC0"/>
    <w:rsid w:val="00B61E30"/>
    <w:rsid w:val="00B642DA"/>
    <w:rsid w:val="00B8102A"/>
    <w:rsid w:val="00B84A10"/>
    <w:rsid w:val="00B87B37"/>
    <w:rsid w:val="00B97703"/>
    <w:rsid w:val="00BB0E42"/>
    <w:rsid w:val="00BB4EAC"/>
    <w:rsid w:val="00BD5EA1"/>
    <w:rsid w:val="00BD7044"/>
    <w:rsid w:val="00C42B50"/>
    <w:rsid w:val="00C64BEA"/>
    <w:rsid w:val="00C82985"/>
    <w:rsid w:val="00C90234"/>
    <w:rsid w:val="00C914A2"/>
    <w:rsid w:val="00C928D8"/>
    <w:rsid w:val="00CC2F12"/>
    <w:rsid w:val="00CD3D72"/>
    <w:rsid w:val="00D036B3"/>
    <w:rsid w:val="00D06FEC"/>
    <w:rsid w:val="00D24970"/>
    <w:rsid w:val="00D37249"/>
    <w:rsid w:val="00D44D15"/>
    <w:rsid w:val="00D51113"/>
    <w:rsid w:val="00D53893"/>
    <w:rsid w:val="00D976F0"/>
    <w:rsid w:val="00DC4188"/>
    <w:rsid w:val="00DD67BA"/>
    <w:rsid w:val="00DE38A1"/>
    <w:rsid w:val="00DE644B"/>
    <w:rsid w:val="00E056B5"/>
    <w:rsid w:val="00E05D00"/>
    <w:rsid w:val="00E15EC7"/>
    <w:rsid w:val="00E236A9"/>
    <w:rsid w:val="00E23AA6"/>
    <w:rsid w:val="00E43684"/>
    <w:rsid w:val="00E4609C"/>
    <w:rsid w:val="00E51165"/>
    <w:rsid w:val="00E55E5A"/>
    <w:rsid w:val="00E70734"/>
    <w:rsid w:val="00E71586"/>
    <w:rsid w:val="00E72AC5"/>
    <w:rsid w:val="00E845FD"/>
    <w:rsid w:val="00E96BEE"/>
    <w:rsid w:val="00EA681D"/>
    <w:rsid w:val="00ED0A33"/>
    <w:rsid w:val="00EE22DF"/>
    <w:rsid w:val="00F04DA4"/>
    <w:rsid w:val="00F079E5"/>
    <w:rsid w:val="00F22C17"/>
    <w:rsid w:val="00F32C08"/>
    <w:rsid w:val="00F40B8A"/>
    <w:rsid w:val="00F509DA"/>
    <w:rsid w:val="00F61B90"/>
    <w:rsid w:val="00F76218"/>
    <w:rsid w:val="00F77850"/>
    <w:rsid w:val="00F93E3C"/>
    <w:rsid w:val="00F950AB"/>
    <w:rsid w:val="00F96BAD"/>
    <w:rsid w:val="00FA2C77"/>
    <w:rsid w:val="00FB2361"/>
    <w:rsid w:val="00FB4AEC"/>
    <w:rsid w:val="00FB5CEA"/>
    <w:rsid w:val="00FF6CCC"/>
    <w:rsid w:val="00FF7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1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1331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1331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331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331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331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331E2"/>
    <w:pPr>
      <w:outlineLvl w:val="5"/>
    </w:pPr>
  </w:style>
  <w:style w:type="paragraph" w:styleId="Heading7">
    <w:name w:val="heading 7"/>
    <w:basedOn w:val="H6"/>
    <w:next w:val="Normal"/>
    <w:qFormat/>
    <w:rsid w:val="001331E2"/>
    <w:pPr>
      <w:outlineLvl w:val="6"/>
    </w:pPr>
  </w:style>
  <w:style w:type="paragraph" w:styleId="Heading8">
    <w:name w:val="heading 8"/>
    <w:basedOn w:val="Heading1"/>
    <w:next w:val="Normal"/>
    <w:qFormat/>
    <w:rsid w:val="001331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31E2"/>
    <w:pPr>
      <w:outlineLvl w:val="8"/>
    </w:pPr>
  </w:style>
  <w:style w:type="character" w:default="1" w:styleId="DefaultParagraphFont">
    <w:name w:val="Default Paragraph Font"/>
    <w:semiHidden/>
    <w:rsid w:val="001331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31E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1331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331E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331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331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331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331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1331E2"/>
    <w:pPr>
      <w:ind w:left="1701" w:hanging="1701"/>
    </w:pPr>
  </w:style>
  <w:style w:type="paragraph" w:styleId="TOC4">
    <w:name w:val="toc 4"/>
    <w:basedOn w:val="TOC3"/>
    <w:semiHidden/>
    <w:rsid w:val="001331E2"/>
    <w:pPr>
      <w:ind w:left="1418" w:hanging="1418"/>
    </w:pPr>
  </w:style>
  <w:style w:type="paragraph" w:styleId="TOC3">
    <w:name w:val="toc 3"/>
    <w:basedOn w:val="TOC2"/>
    <w:semiHidden/>
    <w:rsid w:val="001331E2"/>
    <w:pPr>
      <w:ind w:left="1134" w:hanging="1134"/>
    </w:pPr>
  </w:style>
  <w:style w:type="paragraph" w:styleId="TOC2">
    <w:name w:val="toc 2"/>
    <w:basedOn w:val="TOC1"/>
    <w:semiHidden/>
    <w:rsid w:val="001331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31E2"/>
    <w:pPr>
      <w:ind w:left="284"/>
    </w:pPr>
  </w:style>
  <w:style w:type="paragraph" w:styleId="Index1">
    <w:name w:val="index 1"/>
    <w:basedOn w:val="Normal"/>
    <w:semiHidden/>
    <w:rsid w:val="001331E2"/>
    <w:pPr>
      <w:keepLines/>
      <w:spacing w:after="0"/>
    </w:pPr>
  </w:style>
  <w:style w:type="paragraph" w:customStyle="1" w:styleId="ZH">
    <w:name w:val="ZH"/>
    <w:rsid w:val="001331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331E2"/>
    <w:pPr>
      <w:outlineLvl w:val="9"/>
    </w:pPr>
  </w:style>
  <w:style w:type="paragraph" w:styleId="ListNumber2">
    <w:name w:val="List Number 2"/>
    <w:basedOn w:val="ListNumber"/>
    <w:semiHidden/>
    <w:rsid w:val="001331E2"/>
    <w:pPr>
      <w:ind w:left="851"/>
    </w:pPr>
  </w:style>
  <w:style w:type="character" w:styleId="FootnoteReference">
    <w:name w:val="footnote reference"/>
    <w:basedOn w:val="DefaultParagraphFont"/>
    <w:semiHidden/>
    <w:rsid w:val="001331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331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1331E2"/>
    <w:rPr>
      <w:b/>
    </w:rPr>
  </w:style>
  <w:style w:type="paragraph" w:customStyle="1" w:styleId="TAC">
    <w:name w:val="TAC"/>
    <w:basedOn w:val="TAL"/>
    <w:rsid w:val="001331E2"/>
    <w:pPr>
      <w:jc w:val="center"/>
    </w:pPr>
  </w:style>
  <w:style w:type="paragraph" w:customStyle="1" w:styleId="TF">
    <w:name w:val="TF"/>
    <w:basedOn w:val="TH"/>
    <w:rsid w:val="001331E2"/>
    <w:pPr>
      <w:keepNext w:val="0"/>
      <w:spacing w:before="0" w:after="240"/>
    </w:pPr>
  </w:style>
  <w:style w:type="paragraph" w:customStyle="1" w:styleId="NO">
    <w:name w:val="NO"/>
    <w:basedOn w:val="Normal"/>
    <w:rsid w:val="001331E2"/>
    <w:pPr>
      <w:keepLines/>
      <w:ind w:left="1135" w:hanging="851"/>
    </w:pPr>
  </w:style>
  <w:style w:type="paragraph" w:styleId="TOC9">
    <w:name w:val="toc 9"/>
    <w:basedOn w:val="TOC8"/>
    <w:semiHidden/>
    <w:rsid w:val="001331E2"/>
    <w:pPr>
      <w:ind w:left="1418" w:hanging="1418"/>
    </w:pPr>
  </w:style>
  <w:style w:type="paragraph" w:customStyle="1" w:styleId="EX">
    <w:name w:val="EX"/>
    <w:basedOn w:val="Normal"/>
    <w:rsid w:val="001331E2"/>
    <w:pPr>
      <w:keepLines/>
      <w:ind w:left="1702" w:hanging="1418"/>
    </w:pPr>
  </w:style>
  <w:style w:type="paragraph" w:customStyle="1" w:styleId="FP">
    <w:name w:val="FP"/>
    <w:basedOn w:val="Normal"/>
    <w:rsid w:val="001331E2"/>
    <w:pPr>
      <w:spacing w:after="0"/>
    </w:pPr>
  </w:style>
  <w:style w:type="paragraph" w:customStyle="1" w:styleId="LD">
    <w:name w:val="LD"/>
    <w:rsid w:val="001331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331E2"/>
    <w:pPr>
      <w:spacing w:after="0"/>
    </w:pPr>
  </w:style>
  <w:style w:type="paragraph" w:customStyle="1" w:styleId="EW">
    <w:name w:val="EW"/>
    <w:basedOn w:val="EX"/>
    <w:rsid w:val="001331E2"/>
    <w:pPr>
      <w:spacing w:after="0"/>
    </w:pPr>
  </w:style>
  <w:style w:type="paragraph" w:styleId="TOC6">
    <w:name w:val="toc 6"/>
    <w:basedOn w:val="TOC5"/>
    <w:next w:val="Normal"/>
    <w:semiHidden/>
    <w:rsid w:val="001331E2"/>
    <w:pPr>
      <w:ind w:left="1985" w:hanging="1985"/>
    </w:pPr>
  </w:style>
  <w:style w:type="paragraph" w:styleId="TOC7">
    <w:name w:val="toc 7"/>
    <w:basedOn w:val="TOC6"/>
    <w:next w:val="Normal"/>
    <w:semiHidden/>
    <w:rsid w:val="001331E2"/>
    <w:pPr>
      <w:ind w:left="2268" w:hanging="2268"/>
    </w:pPr>
  </w:style>
  <w:style w:type="paragraph" w:styleId="ListBullet2">
    <w:name w:val="List Bullet 2"/>
    <w:basedOn w:val="ListBullet"/>
    <w:semiHidden/>
    <w:rsid w:val="001331E2"/>
    <w:pPr>
      <w:ind w:left="851"/>
    </w:pPr>
  </w:style>
  <w:style w:type="paragraph" w:styleId="ListBullet3">
    <w:name w:val="List Bullet 3"/>
    <w:basedOn w:val="ListBullet2"/>
    <w:semiHidden/>
    <w:rsid w:val="001331E2"/>
    <w:pPr>
      <w:ind w:left="1135"/>
    </w:pPr>
  </w:style>
  <w:style w:type="paragraph" w:styleId="ListNumber">
    <w:name w:val="List Number"/>
    <w:basedOn w:val="List"/>
    <w:semiHidden/>
    <w:rsid w:val="001331E2"/>
  </w:style>
  <w:style w:type="paragraph" w:customStyle="1" w:styleId="EQ">
    <w:name w:val="EQ"/>
    <w:basedOn w:val="Normal"/>
    <w:next w:val="Normal"/>
    <w:rsid w:val="001331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331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31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31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331E2"/>
    <w:pPr>
      <w:jc w:val="right"/>
    </w:pPr>
  </w:style>
  <w:style w:type="paragraph" w:customStyle="1" w:styleId="H6">
    <w:name w:val="H6"/>
    <w:basedOn w:val="Heading5"/>
    <w:next w:val="Normal"/>
    <w:rsid w:val="001331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331E2"/>
    <w:pPr>
      <w:ind w:left="851" w:hanging="851"/>
    </w:pPr>
  </w:style>
  <w:style w:type="paragraph" w:customStyle="1" w:styleId="TAL">
    <w:name w:val="TAL"/>
    <w:basedOn w:val="Normal"/>
    <w:rsid w:val="001331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31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331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331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331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331E2"/>
    <w:pPr>
      <w:framePr w:wrap="notBeside" w:y="16161"/>
    </w:pPr>
  </w:style>
  <w:style w:type="character" w:customStyle="1" w:styleId="ZGSM">
    <w:name w:val="ZGSM"/>
    <w:rsid w:val="001331E2"/>
  </w:style>
  <w:style w:type="paragraph" w:styleId="List2">
    <w:name w:val="List 2"/>
    <w:basedOn w:val="List"/>
    <w:semiHidden/>
    <w:rsid w:val="001331E2"/>
    <w:pPr>
      <w:ind w:left="851"/>
    </w:pPr>
  </w:style>
  <w:style w:type="paragraph" w:customStyle="1" w:styleId="ZG">
    <w:name w:val="ZG"/>
    <w:rsid w:val="001331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331E2"/>
    <w:pPr>
      <w:ind w:left="1135"/>
    </w:pPr>
  </w:style>
  <w:style w:type="paragraph" w:styleId="List4">
    <w:name w:val="List 4"/>
    <w:basedOn w:val="List3"/>
    <w:semiHidden/>
    <w:rsid w:val="001331E2"/>
    <w:pPr>
      <w:ind w:left="1418"/>
    </w:pPr>
  </w:style>
  <w:style w:type="paragraph" w:styleId="List5">
    <w:name w:val="List 5"/>
    <w:basedOn w:val="List4"/>
    <w:semiHidden/>
    <w:rsid w:val="001331E2"/>
    <w:pPr>
      <w:ind w:left="1702"/>
    </w:pPr>
  </w:style>
  <w:style w:type="paragraph" w:customStyle="1" w:styleId="EditorsNote">
    <w:name w:val="Editor's Note"/>
    <w:basedOn w:val="NO"/>
    <w:rsid w:val="001331E2"/>
    <w:rPr>
      <w:color w:val="FF0000"/>
    </w:rPr>
  </w:style>
  <w:style w:type="paragraph" w:styleId="List">
    <w:name w:val="List"/>
    <w:basedOn w:val="Normal"/>
    <w:semiHidden/>
    <w:rsid w:val="001331E2"/>
    <w:pPr>
      <w:ind w:left="568" w:hanging="284"/>
    </w:pPr>
  </w:style>
  <w:style w:type="paragraph" w:styleId="ListBullet">
    <w:name w:val="List Bullet"/>
    <w:basedOn w:val="List"/>
    <w:semiHidden/>
    <w:rsid w:val="001331E2"/>
  </w:style>
  <w:style w:type="paragraph" w:styleId="ListBullet4">
    <w:name w:val="List Bullet 4"/>
    <w:basedOn w:val="ListBullet3"/>
    <w:semiHidden/>
    <w:rsid w:val="001331E2"/>
    <w:pPr>
      <w:ind w:left="1418"/>
    </w:pPr>
  </w:style>
  <w:style w:type="paragraph" w:styleId="ListBullet5">
    <w:name w:val="List Bullet 5"/>
    <w:basedOn w:val="ListBullet4"/>
    <w:semiHidden/>
    <w:rsid w:val="001331E2"/>
    <w:pPr>
      <w:ind w:left="1702"/>
    </w:pPr>
  </w:style>
  <w:style w:type="paragraph" w:customStyle="1" w:styleId="B2">
    <w:name w:val="B2"/>
    <w:basedOn w:val="List2"/>
    <w:rsid w:val="001331E2"/>
  </w:style>
  <w:style w:type="paragraph" w:customStyle="1" w:styleId="B3">
    <w:name w:val="B3"/>
    <w:basedOn w:val="List3"/>
    <w:rsid w:val="001331E2"/>
  </w:style>
  <w:style w:type="paragraph" w:customStyle="1" w:styleId="B4">
    <w:name w:val="B4"/>
    <w:basedOn w:val="List4"/>
    <w:rsid w:val="001331E2"/>
  </w:style>
  <w:style w:type="paragraph" w:customStyle="1" w:styleId="B5">
    <w:name w:val="B5"/>
    <w:basedOn w:val="List5"/>
    <w:rsid w:val="001331E2"/>
  </w:style>
  <w:style w:type="paragraph" w:customStyle="1" w:styleId="ZTD">
    <w:name w:val="ZTD"/>
    <w:basedOn w:val="ZB"/>
    <w:rsid w:val="001331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clear" w:pos="2070"/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ABD09-8470-4A94-B895-D5853A2C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2002-04-23T08:10:00Z</cp:lastPrinted>
  <dcterms:created xsi:type="dcterms:W3CDTF">2016-11-17T03:14:00Z</dcterms:created>
  <dcterms:modified xsi:type="dcterms:W3CDTF">2016-11-17T03:14:00Z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-601396195</vt:i4>
  </property>
  <property fmtid="{D5CDD505-2E9C-101B-9397-08002B2CF9AE}" pid="4" name="_EmailSubject">
    <vt:lpwstr>updated draft</vt:lpwstr>
  </property>
  <property fmtid="{D5CDD505-2E9C-101B-9397-08002B2CF9AE}" pid="5" name="_AuthorEmail">
    <vt:lpwstr>johan.johansson@mediatek.com</vt:lpwstr>
  </property>
  <property fmtid="{D5CDD505-2E9C-101B-9397-08002B2CF9AE}" pid="6" name="_AuthorEmailDisplayName">
    <vt:lpwstr>Johan Johansson</vt:lpwstr>
  </property>
  <property fmtid="{D5CDD505-2E9C-101B-9397-08002B2CF9AE}" pid="7" name="_ReviewingToolsShownOnce">
    <vt:lpwstr/>
  </property>
</Properties>
</file>